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DBF" w:rsidRDefault="00632DBF" w:rsidP="001C1B31">
      <w:pPr>
        <w:jc w:val="both"/>
        <w:rPr>
          <w:sz w:val="24"/>
          <w:szCs w:val="24"/>
        </w:rPr>
      </w:pPr>
    </w:p>
    <w:p w:rsidR="00632DBF" w:rsidRDefault="00632DBF" w:rsidP="001C1B31">
      <w:pPr>
        <w:jc w:val="both"/>
        <w:rPr>
          <w:sz w:val="24"/>
          <w:szCs w:val="24"/>
        </w:rPr>
      </w:pPr>
    </w:p>
    <w:p w:rsidR="00B81B6F" w:rsidRDefault="00B81B6F" w:rsidP="00632DBF">
      <w:pPr>
        <w:jc w:val="center"/>
        <w:rPr>
          <w:sz w:val="36"/>
          <w:szCs w:val="36"/>
        </w:rPr>
      </w:pPr>
      <w:r w:rsidRPr="00632DBF">
        <w:rPr>
          <w:sz w:val="36"/>
          <w:szCs w:val="36"/>
        </w:rPr>
        <w:t>Lettera di intenti</w:t>
      </w:r>
    </w:p>
    <w:p w:rsidR="00C76077" w:rsidRDefault="00C76077" w:rsidP="00632DBF">
      <w:pPr>
        <w:jc w:val="center"/>
        <w:rPr>
          <w:sz w:val="36"/>
          <w:szCs w:val="36"/>
        </w:rPr>
      </w:pPr>
    </w:p>
    <w:p w:rsidR="00C76077" w:rsidRDefault="00C76077" w:rsidP="00C76077">
      <w:pPr>
        <w:ind w:left="4956" w:firstLine="708"/>
        <w:rPr>
          <w:sz w:val="24"/>
          <w:szCs w:val="24"/>
        </w:rPr>
      </w:pPr>
      <w:r w:rsidRPr="00C76077">
        <w:rPr>
          <w:sz w:val="24"/>
          <w:szCs w:val="24"/>
        </w:rPr>
        <w:t xml:space="preserve">Alla c.a. </w:t>
      </w:r>
      <w:r>
        <w:rPr>
          <w:sz w:val="24"/>
          <w:szCs w:val="24"/>
        </w:rPr>
        <w:t>Stefania Saccardi</w:t>
      </w:r>
    </w:p>
    <w:p w:rsidR="00C76077" w:rsidRDefault="00C76077" w:rsidP="00C76077">
      <w:pPr>
        <w:ind w:left="4956" w:firstLine="708"/>
      </w:pPr>
      <w:r>
        <w:rPr>
          <w:sz w:val="24"/>
          <w:szCs w:val="24"/>
        </w:rPr>
        <w:t xml:space="preserve">Assessore </w:t>
      </w:r>
      <w:r>
        <w:t>Agro-alimentare, caccia e pesca</w:t>
      </w:r>
    </w:p>
    <w:p w:rsidR="00C76077" w:rsidRDefault="00C76077" w:rsidP="00C76077">
      <w:pPr>
        <w:ind w:left="4956" w:firstLine="708"/>
      </w:pPr>
      <w:r>
        <w:t xml:space="preserve">Via di Novoli, 26 50127 </w:t>
      </w:r>
      <w:r>
        <w:t>–</w:t>
      </w:r>
      <w:r>
        <w:t xml:space="preserve"> Firenze</w:t>
      </w:r>
    </w:p>
    <w:p w:rsidR="00C76077" w:rsidRPr="00C76077" w:rsidRDefault="00C76077" w:rsidP="00C76077">
      <w:pPr>
        <w:ind w:left="4956" w:firstLine="708"/>
        <w:rPr>
          <w:sz w:val="24"/>
          <w:szCs w:val="24"/>
        </w:rPr>
      </w:pPr>
      <w:r>
        <w:fldChar w:fldCharType="begin"/>
      </w:r>
      <w:r>
        <w:instrText xml:space="preserve"> HYPERLINK "mailto:regionetoscana@postacert.toscana.it" </w:instrText>
      </w:r>
      <w:r>
        <w:fldChar w:fldCharType="separate"/>
      </w:r>
      <w:r>
        <w:rPr>
          <w:rStyle w:val="Collegamentoipertestuale"/>
        </w:rPr>
        <w:t>regionetoscana@postacert.toscana.it</w:t>
      </w:r>
      <w:r>
        <w:fldChar w:fldCharType="end"/>
      </w:r>
      <w:bookmarkStart w:id="0" w:name="_GoBack"/>
      <w:bookmarkEnd w:id="0"/>
    </w:p>
    <w:p w:rsidR="00C76077" w:rsidRDefault="00C76077" w:rsidP="00632DBF">
      <w:pPr>
        <w:jc w:val="center"/>
        <w:rPr>
          <w:sz w:val="36"/>
          <w:szCs w:val="36"/>
        </w:rPr>
      </w:pPr>
    </w:p>
    <w:p w:rsidR="00B81B6F" w:rsidRPr="00E868AB" w:rsidRDefault="00B81B6F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Il sottoscritto,</w:t>
      </w:r>
    </w:p>
    <w:p w:rsidR="00B81B6F" w:rsidRPr="00E868AB" w:rsidRDefault="00B81B6F" w:rsidP="001C1B31">
      <w:pPr>
        <w:jc w:val="both"/>
        <w:rPr>
          <w:sz w:val="24"/>
          <w:szCs w:val="24"/>
        </w:rPr>
      </w:pPr>
    </w:p>
    <w:p w:rsidR="00632DBF" w:rsidRDefault="00B81B6F" w:rsidP="00632DBF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Considerando quanto segue:</w:t>
      </w:r>
    </w:p>
    <w:p w:rsidR="00B81B6F" w:rsidRDefault="00B81B6F" w:rsidP="00632DBF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632DBF">
        <w:rPr>
          <w:sz w:val="24"/>
          <w:szCs w:val="24"/>
        </w:rPr>
        <w:t>La rete della Regione Europea per l'Innovazione in Agricoltura, Alimentazione e Foreste (ERIAFF) è stata costituita come un partenariato informale su iniziativa di un nucleo di 17 Regioni europee, guidato dall’ Assessore dell'Agricoltura della Regione Toscana, che si è riunito il 20 settembre 2012 a Firenze. In questa prima Conferenza è stata lanciata la dichiarazione congiunta costitutiva di ERIAFF con il sostegno di 24 Regioni europee</w:t>
      </w:r>
    </w:p>
    <w:p w:rsidR="00632DBF" w:rsidRDefault="00632DBF" w:rsidP="001C1B31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632DBF">
        <w:rPr>
          <w:sz w:val="24"/>
          <w:szCs w:val="24"/>
        </w:rPr>
        <w:t>Il 2</w:t>
      </w:r>
      <w:r w:rsidR="00B81B6F" w:rsidRPr="00632DBF">
        <w:rPr>
          <w:sz w:val="24"/>
          <w:szCs w:val="24"/>
        </w:rPr>
        <w:t xml:space="preserve"> ottobre 2013 a Bruxelles, in occasione della seconda Conferenza ERIAFF, le Regioni hanno ribadito il loro impegno a proseguire la loro azione per facilitare l'integrazione delle politiche europee a favore dell'innovazione nei settori agricolo, alimentare e forestale.</w:t>
      </w:r>
    </w:p>
    <w:p w:rsidR="00632DBF" w:rsidRDefault="00B81B6F" w:rsidP="001C1B31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632DBF">
        <w:rPr>
          <w:sz w:val="24"/>
          <w:szCs w:val="24"/>
        </w:rPr>
        <w:t>La Commissione Europea considera ERIAFF una rete utile e pertinente.</w:t>
      </w:r>
    </w:p>
    <w:p w:rsidR="00632DBF" w:rsidRDefault="00B81B6F" w:rsidP="001C1B31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632DBF">
        <w:rPr>
          <w:sz w:val="24"/>
          <w:szCs w:val="24"/>
        </w:rPr>
        <w:t>ERIAFF ha consentito ai suoi partner di lavorare su temi di comune interesse, arrivando all'aggregazione di 80 Regioni di 18 Stati membri dell'Unione Europea.</w:t>
      </w:r>
    </w:p>
    <w:p w:rsidR="000D16F7" w:rsidRDefault="00B81B6F" w:rsidP="001C1B31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632DBF">
        <w:rPr>
          <w:sz w:val="24"/>
          <w:szCs w:val="24"/>
        </w:rPr>
        <w:t xml:space="preserve">ERIAFF è in grado di dare un contributo considerevole alla Smart </w:t>
      </w:r>
      <w:proofErr w:type="spellStart"/>
      <w:r w:rsidRPr="00632DBF">
        <w:rPr>
          <w:sz w:val="24"/>
          <w:szCs w:val="24"/>
        </w:rPr>
        <w:t>Specialization</w:t>
      </w:r>
      <w:proofErr w:type="spellEnd"/>
      <w:r w:rsidRPr="00632DBF">
        <w:rPr>
          <w:sz w:val="24"/>
          <w:szCs w:val="24"/>
        </w:rPr>
        <w:t xml:space="preserve"> </w:t>
      </w:r>
      <w:proofErr w:type="spellStart"/>
      <w:r w:rsidRPr="00632DBF">
        <w:rPr>
          <w:sz w:val="24"/>
          <w:szCs w:val="24"/>
        </w:rPr>
        <w:t>Strategy</w:t>
      </w:r>
      <w:proofErr w:type="spellEnd"/>
      <w:r w:rsidRPr="00632DBF">
        <w:rPr>
          <w:sz w:val="24"/>
          <w:szCs w:val="24"/>
        </w:rPr>
        <w:t xml:space="preserve"> (S3) </w:t>
      </w:r>
      <w:proofErr w:type="spellStart"/>
      <w:r w:rsidRPr="00632DBF">
        <w:rPr>
          <w:sz w:val="24"/>
          <w:szCs w:val="24"/>
        </w:rPr>
        <w:t>Agrifood</w:t>
      </w:r>
      <w:proofErr w:type="spellEnd"/>
      <w:r w:rsidRPr="00632DBF">
        <w:rPr>
          <w:sz w:val="24"/>
          <w:szCs w:val="24"/>
        </w:rPr>
        <w:t xml:space="preserve"> Platform lanciata dalla Commissione Europea.</w:t>
      </w:r>
    </w:p>
    <w:p w:rsidR="00743DE8" w:rsidRPr="000D16F7" w:rsidRDefault="00B81B6F" w:rsidP="001C1B31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0D16F7">
        <w:rPr>
          <w:sz w:val="24"/>
          <w:szCs w:val="24"/>
        </w:rPr>
        <w:t xml:space="preserve">Dopo diversi anni di attività, c'è un desiderio comune di garantire il futuro della rete ERIAFF rinnovando l'impegno, soprattutto in termini di un modello di </w:t>
      </w:r>
      <w:proofErr w:type="spellStart"/>
      <w:r w:rsidRPr="000D16F7">
        <w:rPr>
          <w:sz w:val="24"/>
          <w:szCs w:val="24"/>
        </w:rPr>
        <w:t>governance</w:t>
      </w:r>
      <w:proofErr w:type="spellEnd"/>
      <w:r w:rsidRPr="000D16F7">
        <w:rPr>
          <w:sz w:val="24"/>
          <w:szCs w:val="24"/>
        </w:rPr>
        <w:t xml:space="preserve"> che possa facilitare il coordinamento di un numero consistente di partner e rispondere in modo più efficiente al crescente numero di azioni di interesse comune.</w:t>
      </w:r>
    </w:p>
    <w:p w:rsidR="00EC4784" w:rsidRPr="00E868AB" w:rsidRDefault="00EC4784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Rinnovando l'impegno all'interno della Rete ERIAFF</w:t>
      </w:r>
      <w:r w:rsidR="000D16F7">
        <w:rPr>
          <w:sz w:val="24"/>
          <w:szCs w:val="24"/>
        </w:rPr>
        <w:t>:</w:t>
      </w:r>
    </w:p>
    <w:p w:rsidR="00EC4784" w:rsidRPr="00E868AB" w:rsidRDefault="000D16F7" w:rsidP="001C1B31">
      <w:pPr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="00EC4784" w:rsidRPr="00E868AB">
        <w:rPr>
          <w:sz w:val="24"/>
          <w:szCs w:val="24"/>
        </w:rPr>
        <w:t xml:space="preserve"> sottoscritto concorda sui seguenti principi di funzionamento:</w:t>
      </w:r>
    </w:p>
    <w:p w:rsidR="00EC4784" w:rsidRPr="00E868AB" w:rsidRDefault="00EC4784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1. Principi fondamentali</w:t>
      </w:r>
    </w:p>
    <w:p w:rsidR="00EC4784" w:rsidRPr="00E868AB" w:rsidRDefault="00EC4784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lastRenderedPageBreak/>
        <w:t>Si confermano gli obiettivi concordati con la Dichiarazione congiunta di Firenze del 20 settembre 2012, ribadendo l'obiettivo di identificare i bisogni e le priorità dell'innovazione, nonché condividere le migliori pratiche e rispettivi programmi e progetti, al fine di facilitare le sinergie tra gli attori del territorio e migliorare la partecipazione a progetti e iniziative europee.</w:t>
      </w:r>
    </w:p>
    <w:p w:rsidR="00EC4784" w:rsidRPr="00E868AB" w:rsidRDefault="00EC4784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La rete ERIAFF si mantiene come una partnership informale, che resta aperta a nuove adesioni sulla base di due diversi livelli:</w:t>
      </w:r>
    </w:p>
    <w:p w:rsidR="00EC4784" w:rsidRPr="00E868AB" w:rsidRDefault="00EC4784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• Membro: Regioni (o altre istituzioni regionali laddove non esiste un governo a livello regionale) che partecipano alla Rete con una lettera di adesione formale.</w:t>
      </w:r>
    </w:p>
    <w:p w:rsidR="00EC4784" w:rsidRPr="00E868AB" w:rsidRDefault="00EC4784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• Osservatore: Regioni che chiedono di entrare nella mailing list ERIAFF senza inviare una lettera di adesione.</w:t>
      </w:r>
    </w:p>
    <w:p w:rsidR="00EC4784" w:rsidRPr="00E868AB" w:rsidRDefault="00EC4784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 xml:space="preserve">Il coordinamento della rete e le sue attività </w:t>
      </w:r>
      <w:proofErr w:type="gramStart"/>
      <w:r w:rsidRPr="00E868AB">
        <w:rPr>
          <w:sz w:val="24"/>
          <w:szCs w:val="24"/>
        </w:rPr>
        <w:t>sono sostenute</w:t>
      </w:r>
      <w:proofErr w:type="gramEnd"/>
      <w:r w:rsidRPr="00E868AB">
        <w:rPr>
          <w:sz w:val="24"/>
          <w:szCs w:val="24"/>
        </w:rPr>
        <w:t xml:space="preserve"> da un Comitato di Coordinamento (CC).</w:t>
      </w:r>
    </w:p>
    <w:p w:rsidR="00EC4784" w:rsidRPr="00E868AB" w:rsidRDefault="00EC4784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Le attività di rete sono organizzate in gruppi di lavoro tematici, guidati da almeno una regione membro.</w:t>
      </w:r>
    </w:p>
    <w:p w:rsidR="00945C24" w:rsidRPr="00E868AB" w:rsidRDefault="00945C24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2. Partenariato</w:t>
      </w:r>
    </w:p>
    <w:p w:rsidR="00945C24" w:rsidRPr="00E868AB" w:rsidRDefault="00945C24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Il partenariato della rete ERIAFF è composto da enti governativi regionali. Nei Paesi senza enti governativi regionalizzati, al partenariato possono aderire altri Governi Locali (almeno livello NUT3) o strutture governative nazionali equivalenti (es. Agenzie Governative, Autorità per lo Sviluppo Territoriale, ecc.).</w:t>
      </w:r>
    </w:p>
    <w:p w:rsidR="00945C24" w:rsidRPr="00E868AB" w:rsidRDefault="00945C24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I partner ERIAFF, suddivisi in soci e osservatori, possono suggerire attori del proprio territorio da inserire nella lista dei contatti e nelle varie attività, tra cui una delegazione per rappresentare il partner nelle attività di rete.</w:t>
      </w:r>
    </w:p>
    <w:p w:rsidR="00945C24" w:rsidRPr="00E868AB" w:rsidRDefault="00945C24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 xml:space="preserve">3. </w:t>
      </w:r>
      <w:proofErr w:type="spellStart"/>
      <w:r w:rsidRPr="00E868AB">
        <w:rPr>
          <w:sz w:val="24"/>
          <w:szCs w:val="24"/>
        </w:rPr>
        <w:t>Governance</w:t>
      </w:r>
      <w:proofErr w:type="spellEnd"/>
    </w:p>
    <w:p w:rsidR="00945C24" w:rsidRPr="00E868AB" w:rsidRDefault="00945C24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 xml:space="preserve">La rete ERIAFF è una partnership non statutaria, tuttavia i partner discutono e prendono decisioni su iniziative comuni e collaborazioni con parti </w:t>
      </w:r>
      <w:r w:rsidR="002246C8" w:rsidRPr="00E868AB">
        <w:rPr>
          <w:sz w:val="24"/>
          <w:szCs w:val="24"/>
        </w:rPr>
        <w:t xml:space="preserve">terze </w:t>
      </w:r>
      <w:r w:rsidRPr="00E868AB">
        <w:rPr>
          <w:sz w:val="24"/>
          <w:szCs w:val="24"/>
        </w:rPr>
        <w:t>(es. Altre organizzazioni, progetti, ecc.). Al fine di consentire una rappresentanza coordinata e condivisa dell'interesse comune, viene istituito un Comitato di coordinamento (CC) come organo decisionale informale della rete. Si riunisce almeno una volta all'anno ed è composto da tutte le regioni partner firmatarie.</w:t>
      </w:r>
    </w:p>
    <w:p w:rsidR="00945C24" w:rsidRPr="00E868AB" w:rsidRDefault="002246C8" w:rsidP="001C1B31">
      <w:pPr>
        <w:jc w:val="both"/>
        <w:rPr>
          <w:sz w:val="24"/>
          <w:szCs w:val="24"/>
        </w:rPr>
      </w:pPr>
      <w:r>
        <w:rPr>
          <w:sz w:val="24"/>
          <w:szCs w:val="24"/>
        </w:rPr>
        <w:t>L’Assessorato</w:t>
      </w:r>
      <w:r w:rsidR="00945C24" w:rsidRPr="00E868AB">
        <w:rPr>
          <w:sz w:val="24"/>
          <w:szCs w:val="24"/>
        </w:rPr>
        <w:t xml:space="preserve"> dell'Agricoltura della Regione Toscana ricopre pro-tempore il ruolo di coordinatore e facilitatore del CC.</w:t>
      </w:r>
    </w:p>
    <w:p w:rsidR="00945C24" w:rsidRPr="00E868AB" w:rsidRDefault="00945C24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I gruppi di lavoro guidano i partner assicurano la loro presenza alle riunioni del CC.</w:t>
      </w:r>
    </w:p>
    <w:p w:rsidR="00945C24" w:rsidRPr="00E868AB" w:rsidRDefault="00945C24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Il CC decide in merito alla creazione di nuovi gruppi di lavoro e al programma di lavoro annuale. Può istituire task force specifiche per analizzare temi rilevanti per il partenariato e la funzionalità della rete.</w:t>
      </w:r>
    </w:p>
    <w:p w:rsidR="00CE2DAB" w:rsidRPr="00E868AB" w:rsidRDefault="00CE2DAB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4. Gruppi di lavoro</w:t>
      </w:r>
    </w:p>
    <w:p w:rsidR="00CE2DAB" w:rsidRPr="00E868AB" w:rsidRDefault="00CE2DAB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lastRenderedPageBreak/>
        <w:t>La rete ERIAFF opera attraverso gruppi di lavoro il cui coordinamento è assicurato da almeno una regione partner. Possono essere avviati gruppi di lavoro su proposta di un membro, con valutazione e approvazione del Comitato di Coordinamento.</w:t>
      </w:r>
    </w:p>
    <w:p w:rsidR="00CE2DAB" w:rsidRPr="00E868AB" w:rsidRDefault="00817863" w:rsidP="001C1B31">
      <w:pPr>
        <w:jc w:val="both"/>
        <w:rPr>
          <w:sz w:val="24"/>
          <w:szCs w:val="24"/>
        </w:rPr>
      </w:pPr>
      <w:r>
        <w:rPr>
          <w:sz w:val="24"/>
          <w:szCs w:val="24"/>
        </w:rPr>
        <w:t>I gruppi di lavoro p</w:t>
      </w:r>
      <w:r w:rsidR="00CE2DAB" w:rsidRPr="00E868AB">
        <w:rPr>
          <w:sz w:val="24"/>
          <w:szCs w:val="24"/>
        </w:rPr>
        <w:t>ossono essere terminati in qualsiasi momento previa comunicazione del coordinatore al Comitato di coordinamento.</w:t>
      </w:r>
    </w:p>
    <w:p w:rsidR="00817863" w:rsidRDefault="00817863" w:rsidP="001C1B31">
      <w:pPr>
        <w:jc w:val="both"/>
        <w:rPr>
          <w:sz w:val="24"/>
          <w:szCs w:val="24"/>
        </w:rPr>
      </w:pPr>
    </w:p>
    <w:p w:rsidR="00817863" w:rsidRDefault="00817863" w:rsidP="001C1B31">
      <w:pPr>
        <w:jc w:val="both"/>
        <w:rPr>
          <w:sz w:val="24"/>
          <w:szCs w:val="24"/>
        </w:rPr>
      </w:pPr>
    </w:p>
    <w:p w:rsidR="00CE2DAB" w:rsidRPr="00E868AB" w:rsidRDefault="00CE2DAB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I partner ERIAFF possono unirsi a ogni gruppo di lavoro su base volontaria informando il gruppo di lavoro e i coordinatori della rete.</w:t>
      </w:r>
    </w:p>
    <w:p w:rsidR="00CE2DAB" w:rsidRPr="00E868AB" w:rsidRDefault="00CE2DAB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I gruppi di lavoro attivi, e i rispettivi coordinatori, sono i seguenti:</w:t>
      </w:r>
    </w:p>
    <w:p w:rsidR="00CE2DAB" w:rsidRPr="00E868AB" w:rsidRDefault="00CE2DAB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- Orticoltura, Olanda Meridionale e Olanda Settentrionale</w:t>
      </w:r>
    </w:p>
    <w:p w:rsidR="00CE2DAB" w:rsidRPr="00E868AB" w:rsidRDefault="00CE2DAB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- Regioni boscose, Carelia settentrionale e Castiglia e Leon</w:t>
      </w:r>
    </w:p>
    <w:p w:rsidR="00CE2DAB" w:rsidRPr="00E868AB" w:rsidRDefault="00CE2DAB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- Partnership High Tech Farming, Toscana</w:t>
      </w:r>
    </w:p>
    <w:p w:rsidR="00CE2DAB" w:rsidRPr="00E868AB" w:rsidRDefault="00CE2DAB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 xml:space="preserve">- Comunicazione e gestione del sito web, </w:t>
      </w:r>
      <w:proofErr w:type="spellStart"/>
      <w:r w:rsidRPr="00E868AB">
        <w:rPr>
          <w:sz w:val="24"/>
          <w:szCs w:val="24"/>
        </w:rPr>
        <w:t>Extremadura</w:t>
      </w:r>
      <w:proofErr w:type="spellEnd"/>
    </w:p>
    <w:p w:rsidR="00CE2DAB" w:rsidRPr="00E868AB" w:rsidRDefault="00CE2DAB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- Innovazione sociale nelle aree rurali, Marche</w:t>
      </w:r>
    </w:p>
    <w:p w:rsidR="00CE2DAB" w:rsidRPr="00E868AB" w:rsidRDefault="00CE2DAB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- Reti di valori nutrizionali personalizzate, Macedonia centrale</w:t>
      </w:r>
    </w:p>
    <w:p w:rsidR="00CE2DAB" w:rsidRPr="00E868AB" w:rsidRDefault="00CE2DAB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 xml:space="preserve">- Coinvolgimento dei consumatori nell'innovazione agroalimentare, </w:t>
      </w:r>
      <w:proofErr w:type="spellStart"/>
      <w:r w:rsidRPr="00E868AB">
        <w:rPr>
          <w:sz w:val="24"/>
          <w:szCs w:val="24"/>
        </w:rPr>
        <w:t>Ostergötland</w:t>
      </w:r>
      <w:proofErr w:type="spellEnd"/>
    </w:p>
    <w:p w:rsidR="00CE2DAB" w:rsidRPr="00E868AB" w:rsidRDefault="00CE2DAB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- Bioregioni, Catalogna</w:t>
      </w:r>
    </w:p>
    <w:p w:rsidR="00CE2DAB" w:rsidRPr="00E868AB" w:rsidRDefault="00CE2DAB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5. Condivisione delle risorse</w:t>
      </w:r>
    </w:p>
    <w:p w:rsidR="00CE2DAB" w:rsidRPr="00E868AB" w:rsidRDefault="00CE2DAB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Le Regioni coinvolte nel CC possono anche supportare le attività congiunte di ERIAFF allocando il personale amministrativo e organizzativo nelle seguenti aree:</w:t>
      </w:r>
    </w:p>
    <w:p w:rsidR="00CE2DAB" w:rsidRPr="00E868AB" w:rsidRDefault="00CE2DAB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- Sforzi di comunicazione e gestione quotidiana dei contenuti del sito web e degli strumenti dei social media;</w:t>
      </w:r>
    </w:p>
    <w:p w:rsidR="00CE2DAB" w:rsidRPr="00E868AB" w:rsidRDefault="00CE2DAB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- Responsabili delle politiche per il seguito dei fascicoli tecnici e politici;</w:t>
      </w:r>
    </w:p>
    <w:p w:rsidR="00CE2DAB" w:rsidRPr="00E868AB" w:rsidRDefault="00CE2DAB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- Supporto logistico per eventi e meeting a Bruxelles e, se necessario, in altri Paesi UE;</w:t>
      </w:r>
    </w:p>
    <w:p w:rsidR="00CE2DAB" w:rsidRPr="00E868AB" w:rsidRDefault="00CE2DAB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 xml:space="preserve">- </w:t>
      </w:r>
      <w:proofErr w:type="spellStart"/>
      <w:r w:rsidRPr="00E868AB">
        <w:rPr>
          <w:sz w:val="24"/>
          <w:szCs w:val="24"/>
        </w:rPr>
        <w:t>Event</w:t>
      </w:r>
      <w:proofErr w:type="spellEnd"/>
      <w:r w:rsidRPr="00E868AB">
        <w:rPr>
          <w:sz w:val="24"/>
          <w:szCs w:val="24"/>
        </w:rPr>
        <w:t xml:space="preserve"> manager per supportare l'organizzazione di eventi ERIAFF;</w:t>
      </w:r>
    </w:p>
    <w:p w:rsidR="00CE2DAB" w:rsidRPr="00E868AB" w:rsidRDefault="00CE2DAB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- Tirocinanti interessati a settori rilevanti per la rete.</w:t>
      </w:r>
    </w:p>
    <w:p w:rsidR="00CE2DAB" w:rsidRPr="00E868AB" w:rsidRDefault="00CE2DAB" w:rsidP="001C1B31">
      <w:pPr>
        <w:jc w:val="both"/>
        <w:rPr>
          <w:sz w:val="24"/>
          <w:szCs w:val="24"/>
        </w:rPr>
      </w:pPr>
    </w:p>
    <w:p w:rsidR="00CE2DAB" w:rsidRPr="00E868AB" w:rsidRDefault="00CE2DAB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 xml:space="preserve">6. Rinnovo della </w:t>
      </w:r>
      <w:proofErr w:type="spellStart"/>
      <w:r w:rsidRPr="00E868AB">
        <w:rPr>
          <w:sz w:val="24"/>
          <w:szCs w:val="24"/>
        </w:rPr>
        <w:t>governance</w:t>
      </w:r>
      <w:proofErr w:type="spellEnd"/>
    </w:p>
    <w:p w:rsidR="00CE2DAB" w:rsidRPr="00E868AB" w:rsidRDefault="00CE2DAB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lastRenderedPageBreak/>
        <w:t>Il modello organizzativo ERIAFF può essere modificato su proposta del CC e approvazione alla Conferenza Annuale sulla base di una risposta scritta dei membri ERIAFF.</w:t>
      </w:r>
    </w:p>
    <w:p w:rsidR="00CE2DAB" w:rsidRPr="00E868AB" w:rsidRDefault="00CE2DAB" w:rsidP="001C1B31">
      <w:pPr>
        <w:jc w:val="both"/>
        <w:rPr>
          <w:sz w:val="24"/>
          <w:szCs w:val="24"/>
        </w:rPr>
      </w:pPr>
    </w:p>
    <w:p w:rsidR="00CE2DAB" w:rsidRPr="00E868AB" w:rsidRDefault="00CE2DAB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Il sottoscritto dichiara a:</w:t>
      </w:r>
    </w:p>
    <w:p w:rsidR="000E18BA" w:rsidRDefault="00CE2DAB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 xml:space="preserve">- essere un partner attivo del Comitato di coordinamento della rete delle regioni europee per l'innovazione in agricoltura, alimentazione e silvicoltura e farà il possibile per costruire una rete </w:t>
      </w:r>
    </w:p>
    <w:p w:rsidR="000E18BA" w:rsidRDefault="000E18BA" w:rsidP="001C1B31">
      <w:pPr>
        <w:jc w:val="both"/>
        <w:rPr>
          <w:sz w:val="24"/>
          <w:szCs w:val="24"/>
        </w:rPr>
      </w:pPr>
    </w:p>
    <w:p w:rsidR="000E18BA" w:rsidRDefault="000E18BA" w:rsidP="001C1B31">
      <w:pPr>
        <w:jc w:val="both"/>
        <w:rPr>
          <w:sz w:val="24"/>
          <w:szCs w:val="24"/>
        </w:rPr>
      </w:pPr>
    </w:p>
    <w:p w:rsidR="00CE2DAB" w:rsidRPr="00E868AB" w:rsidRDefault="00CE2DAB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europea che abbia un'importante funzione di piattaforma e fungerà da autorità per la ricerca aspetti dell'innovazione in agricoltura, alimentazione e silvicoltura a livello europeo.</w:t>
      </w:r>
    </w:p>
    <w:p w:rsidR="00CE2DAB" w:rsidRPr="00E868AB" w:rsidRDefault="00CE2DAB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- fornire la forza lavoro amministrativa e organizzativa necessaria per supportare attività e progetti congiunti e interregionali;</w:t>
      </w:r>
    </w:p>
    <w:p w:rsidR="00CE2DAB" w:rsidRPr="00E868AB" w:rsidRDefault="00CE2DAB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- rappresentare la rete ERIAFF, con dedica scritta e personale, quando richiesto dalle regioni membri o dall'Unione Europea;</w:t>
      </w:r>
    </w:p>
    <w:p w:rsidR="00CE2DAB" w:rsidRPr="00E868AB" w:rsidRDefault="00CE2DAB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- impegnarsi a sviluppare ulteriormente la rete ERIAFF e le attività interregionali attraverso l'istituzione di pertinenti gruppi di lavoro ERIAFF.</w:t>
      </w:r>
    </w:p>
    <w:p w:rsidR="00CE2DAB" w:rsidRPr="00E868AB" w:rsidRDefault="00CE2DAB" w:rsidP="001C1B31">
      <w:pPr>
        <w:jc w:val="both"/>
        <w:rPr>
          <w:sz w:val="24"/>
          <w:szCs w:val="24"/>
        </w:rPr>
      </w:pPr>
    </w:p>
    <w:p w:rsidR="00CE2DAB" w:rsidRPr="00E868AB" w:rsidRDefault="00CE2DAB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La presente lettera di intenti sarà valida fino alla conferenza annuale ERIAFF del 2021 e potrà essere rinnovata mediante espressa comunicazione scritta dei firmatari.</w:t>
      </w:r>
    </w:p>
    <w:p w:rsidR="00CE2DAB" w:rsidRDefault="00CE2DAB" w:rsidP="001C1B31">
      <w:pPr>
        <w:jc w:val="both"/>
        <w:rPr>
          <w:sz w:val="24"/>
          <w:szCs w:val="24"/>
        </w:rPr>
      </w:pPr>
      <w:r w:rsidRPr="00E868AB">
        <w:rPr>
          <w:sz w:val="24"/>
          <w:szCs w:val="24"/>
        </w:rPr>
        <w:t>Così concordato a Firenze alla conferenza ERIAFF 2019 il 28 marzo 2019.</w:t>
      </w:r>
    </w:p>
    <w:p w:rsidR="00B850D0" w:rsidRDefault="00B850D0" w:rsidP="001C1B31">
      <w:pPr>
        <w:jc w:val="both"/>
        <w:rPr>
          <w:sz w:val="24"/>
          <w:szCs w:val="24"/>
        </w:rPr>
      </w:pPr>
    </w:p>
    <w:p w:rsidR="00B850D0" w:rsidRPr="00E868AB" w:rsidRDefault="00B850D0" w:rsidP="001C1B31">
      <w:pPr>
        <w:jc w:val="both"/>
        <w:rPr>
          <w:sz w:val="24"/>
          <w:szCs w:val="24"/>
        </w:rPr>
      </w:pPr>
    </w:p>
    <w:p w:rsidR="00B850D0" w:rsidRPr="00B850D0" w:rsidRDefault="00B850D0" w:rsidP="00B850D0">
      <w:pPr>
        <w:spacing w:after="0" w:line="240" w:lineRule="auto"/>
        <w:jc w:val="both"/>
      </w:pPr>
      <w:r w:rsidRPr="00B850D0">
        <w:t xml:space="preserve">Regione: </w:t>
      </w:r>
    </w:p>
    <w:p w:rsidR="00B850D0" w:rsidRPr="00B850D0" w:rsidRDefault="00B850D0" w:rsidP="00B850D0">
      <w:pPr>
        <w:spacing w:after="0" w:line="240" w:lineRule="auto"/>
        <w:jc w:val="both"/>
      </w:pPr>
    </w:p>
    <w:p w:rsidR="00B850D0" w:rsidRPr="00B850D0" w:rsidRDefault="00B850D0" w:rsidP="00B850D0">
      <w:pPr>
        <w:spacing w:after="0" w:line="240" w:lineRule="auto"/>
        <w:jc w:val="both"/>
      </w:pPr>
      <w:r w:rsidRPr="00B850D0">
        <w:t>Nome e Funzione:</w:t>
      </w:r>
    </w:p>
    <w:p w:rsidR="00B850D0" w:rsidRPr="00B850D0" w:rsidRDefault="00B850D0" w:rsidP="00B850D0">
      <w:pPr>
        <w:spacing w:after="0" w:line="240" w:lineRule="auto"/>
        <w:jc w:val="both"/>
      </w:pPr>
    </w:p>
    <w:p w:rsidR="00B850D0" w:rsidRPr="00B850D0" w:rsidRDefault="00B850D0" w:rsidP="00B850D0">
      <w:pPr>
        <w:spacing w:after="0" w:line="240" w:lineRule="auto"/>
        <w:jc w:val="both"/>
      </w:pPr>
      <w:r w:rsidRPr="00B850D0">
        <w:t>Firma:</w:t>
      </w:r>
    </w:p>
    <w:p w:rsidR="00A66308" w:rsidRPr="00B850D0" w:rsidRDefault="00A66308" w:rsidP="001C1B31">
      <w:pPr>
        <w:jc w:val="both"/>
        <w:rPr>
          <w:sz w:val="24"/>
          <w:szCs w:val="24"/>
        </w:rPr>
      </w:pPr>
    </w:p>
    <w:p w:rsidR="00A66308" w:rsidRPr="00E868AB" w:rsidRDefault="00A66308" w:rsidP="001C1B31">
      <w:pPr>
        <w:ind w:left="5529" w:firstLine="141"/>
        <w:jc w:val="both"/>
        <w:rPr>
          <w:sz w:val="24"/>
          <w:szCs w:val="24"/>
        </w:rPr>
      </w:pPr>
      <w:r w:rsidRPr="00E868AB">
        <w:rPr>
          <w:sz w:val="24"/>
          <w:szCs w:val="24"/>
        </w:rPr>
        <w:t>Referenti tecnici</w:t>
      </w:r>
    </w:p>
    <w:p w:rsidR="00B850D0" w:rsidRDefault="00A66308" w:rsidP="001C1B31">
      <w:pPr>
        <w:ind w:left="5670"/>
        <w:jc w:val="both"/>
        <w:rPr>
          <w:sz w:val="24"/>
          <w:szCs w:val="24"/>
        </w:rPr>
      </w:pPr>
      <w:r w:rsidRPr="00E868AB">
        <w:rPr>
          <w:sz w:val="24"/>
          <w:szCs w:val="24"/>
        </w:rPr>
        <w:t>Ulteriori responsabilità approvate</w:t>
      </w:r>
    </w:p>
    <w:p w:rsidR="00A66308" w:rsidRPr="00E868AB" w:rsidRDefault="00A66308" w:rsidP="001C1B31">
      <w:pPr>
        <w:ind w:left="5670"/>
        <w:jc w:val="both"/>
        <w:rPr>
          <w:sz w:val="24"/>
          <w:szCs w:val="24"/>
        </w:rPr>
      </w:pPr>
      <w:r w:rsidRPr="00E868AB">
        <w:rPr>
          <w:sz w:val="24"/>
          <w:szCs w:val="24"/>
        </w:rPr>
        <w:t xml:space="preserve">Per favore, aggiungi qui i dettagli di contatto di almeno un responsabile </w:t>
      </w:r>
      <w:r w:rsidRPr="00E868AB">
        <w:rPr>
          <w:sz w:val="24"/>
          <w:szCs w:val="24"/>
        </w:rPr>
        <w:lastRenderedPageBreak/>
        <w:t>tecnico (nome + email + telefono) per la mailing list ERIAFF</w:t>
      </w:r>
    </w:p>
    <w:p w:rsidR="00A66308" w:rsidRDefault="00A66308" w:rsidP="001C1B31">
      <w:pPr>
        <w:ind w:left="5670"/>
        <w:jc w:val="both"/>
      </w:pPr>
      <w:r w:rsidRPr="00E868AB">
        <w:rPr>
          <w:sz w:val="24"/>
          <w:szCs w:val="24"/>
        </w:rPr>
        <w:t xml:space="preserve">Inoltre, i firmatari possono aggiungere alcune righe di impegno speciale se lo desiderano - ad es. Alla guida di un gruppo </w:t>
      </w:r>
      <w:r>
        <w:t xml:space="preserve">di lavoro, rendere disponibile una risorsa specifica (umana o logistica), </w:t>
      </w:r>
    </w:p>
    <w:p w:rsidR="00A66308" w:rsidRDefault="00A66308" w:rsidP="00A66308">
      <w:pPr>
        <w:ind w:left="5670"/>
      </w:pPr>
      <w:r w:rsidRPr="00A66308">
        <w:rPr>
          <w:highlight w:val="yellow"/>
        </w:rPr>
        <w:t>ecc. CANCELLA Se non rilevante</w:t>
      </w:r>
    </w:p>
    <w:sectPr w:rsidR="00A6630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940" w:rsidRDefault="00362940" w:rsidP="006F6BA4">
      <w:pPr>
        <w:spacing w:after="0" w:line="240" w:lineRule="auto"/>
      </w:pPr>
      <w:r>
        <w:separator/>
      </w:r>
    </w:p>
  </w:endnote>
  <w:endnote w:type="continuationSeparator" w:id="0">
    <w:p w:rsidR="00362940" w:rsidRDefault="00362940" w:rsidP="006F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940" w:rsidRDefault="00362940" w:rsidP="006F6BA4">
      <w:pPr>
        <w:spacing w:after="0" w:line="240" w:lineRule="auto"/>
      </w:pPr>
      <w:r>
        <w:separator/>
      </w:r>
    </w:p>
  </w:footnote>
  <w:footnote w:type="continuationSeparator" w:id="0">
    <w:p w:rsidR="00362940" w:rsidRDefault="00362940" w:rsidP="006F6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BA4" w:rsidRDefault="006F6BA4">
    <w:pPr>
      <w:pStyle w:val="Intestazione"/>
    </w:pPr>
    <w:r>
      <w:ptab w:relativeTo="margin" w:alignment="center" w:leader="none"/>
    </w:r>
    <w:r>
      <w:rPr>
        <w:rFonts w:eastAsiaTheme="minorEastAsia" w:cs="Calibri Light"/>
        <w:noProof/>
        <w:sz w:val="44"/>
        <w:szCs w:val="56"/>
        <w:lang w:eastAsia="it-IT"/>
      </w:rPr>
      <w:drawing>
        <wp:inline distT="0" distB="0" distL="0" distR="0" wp14:anchorId="1397FC2B" wp14:editId="48B1CA59">
          <wp:extent cx="1073889" cy="107388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EW_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47" cy="1073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441DC"/>
    <w:multiLevelType w:val="hybridMultilevel"/>
    <w:tmpl w:val="9F309C2A"/>
    <w:lvl w:ilvl="0" w:tplc="1122840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23B26"/>
    <w:multiLevelType w:val="hybridMultilevel"/>
    <w:tmpl w:val="DD36F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2A"/>
    <w:rsid w:val="000D16F7"/>
    <w:rsid w:val="000E18BA"/>
    <w:rsid w:val="001C1B31"/>
    <w:rsid w:val="002246C8"/>
    <w:rsid w:val="00332112"/>
    <w:rsid w:val="00362940"/>
    <w:rsid w:val="003C76C6"/>
    <w:rsid w:val="0049154E"/>
    <w:rsid w:val="005E1112"/>
    <w:rsid w:val="00632DBF"/>
    <w:rsid w:val="006F6BA4"/>
    <w:rsid w:val="00720B2A"/>
    <w:rsid w:val="00743DE8"/>
    <w:rsid w:val="007E1EFC"/>
    <w:rsid w:val="00817863"/>
    <w:rsid w:val="00945C24"/>
    <w:rsid w:val="0099379E"/>
    <w:rsid w:val="00A66308"/>
    <w:rsid w:val="00B81B6F"/>
    <w:rsid w:val="00B850D0"/>
    <w:rsid w:val="00C76077"/>
    <w:rsid w:val="00CE2DAB"/>
    <w:rsid w:val="00E868AB"/>
    <w:rsid w:val="00EC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FAD2"/>
  <w15:chartTrackingRefBased/>
  <w15:docId w15:val="{982B2D76-A76A-4C35-A0DA-70B9732D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6B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BA4"/>
  </w:style>
  <w:style w:type="paragraph" w:styleId="Pidipagina">
    <w:name w:val="footer"/>
    <w:basedOn w:val="Normale"/>
    <w:link w:val="PidipaginaCarattere"/>
    <w:uiPriority w:val="99"/>
    <w:unhideWhenUsed/>
    <w:rsid w:val="006F6B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BA4"/>
  </w:style>
  <w:style w:type="paragraph" w:styleId="Paragrafoelenco">
    <w:name w:val="List Paragraph"/>
    <w:basedOn w:val="Normale"/>
    <w:uiPriority w:val="34"/>
    <w:qFormat/>
    <w:rsid w:val="00632DB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C76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AG10918</dc:creator>
  <cp:keywords/>
  <dc:description/>
  <cp:lastModifiedBy>MT05731</cp:lastModifiedBy>
  <cp:revision>3</cp:revision>
  <dcterms:created xsi:type="dcterms:W3CDTF">2021-05-24T13:16:00Z</dcterms:created>
  <dcterms:modified xsi:type="dcterms:W3CDTF">2021-05-24T13:25:00Z</dcterms:modified>
</cp:coreProperties>
</file>